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BC" w:rsidRPr="00AF4CBC" w:rsidRDefault="00AF4CBC" w:rsidP="00AF4CBC">
      <w:pPr>
        <w:shd w:val="clear" w:color="auto" w:fill="FFFFFF"/>
        <w:spacing w:after="220" w:line="240" w:lineRule="auto"/>
        <w:jc w:val="both"/>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Conforme los grupos humanos crecen y sus relaciones sociales se amplían, los problemas suelen ser más complejos, exigiendo soluciones innovadoras y de mayor eficacia. Así, el entorno se transforma e incide en las condiciones de vida del ser humano y sus formas de relacionarse, mismas que en su propia dinámica darán lugar, a su vez, a nuevas exigencias que llevarán a cambios en el entorno, estableciéndose un ciclo permanente de adecuaciones en que ambos interactúan y afectan entre sí.</w:t>
      </w:r>
    </w:p>
    <w:p w:rsidR="00AF4CBC" w:rsidRPr="00AF4CBC" w:rsidRDefault="00AF4CBC" w:rsidP="00AF4CBC">
      <w:pPr>
        <w:shd w:val="clear" w:color="auto" w:fill="FFFFFF"/>
        <w:spacing w:after="324" w:line="240" w:lineRule="auto"/>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Actualmente, puede afirmarse que los aspectos sociopolíticos y económicos destacan sobre los demás, porque las normas que rigen la conducta humana, las decisiones gubernamentales y las políticas establecidas para lograr la satisfacción de las necesidades se han vuelto prioritarias</w:t>
      </w:r>
    </w:p>
    <w:p w:rsidR="00AF4CBC" w:rsidRPr="00AF4CBC" w:rsidRDefault="00AF4CBC" w:rsidP="00AF4CBC">
      <w:pPr>
        <w:shd w:val="clear" w:color="auto" w:fill="FFFFFF"/>
        <w:spacing w:after="220" w:line="240" w:lineRule="auto"/>
        <w:jc w:val="both"/>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Un sistema político presidencial, como es el caso de México, la participación de la sociedad se logra por medio del</w:t>
      </w:r>
      <w:hyperlink r:id="rId4" w:tgtFrame="_blank" w:history="1">
        <w:r w:rsidRPr="00AF4CBC">
          <w:rPr>
            <w:rFonts w:ascii="Verdana" w:eastAsia="Times New Roman" w:hAnsi="Verdana" w:cs="Tahoma"/>
            <w:b/>
            <w:bCs/>
            <w:i/>
            <w:iCs/>
            <w:color w:val="30658D"/>
            <w:lang w:eastAsia="es-ES"/>
          </w:rPr>
          <w:t xml:space="preserve"> sufragio</w:t>
        </w:r>
      </w:hyperlink>
      <w:r w:rsidRPr="00AF4CBC">
        <w:rPr>
          <w:rFonts w:ascii="Verdana" w:eastAsia="Times New Roman" w:hAnsi="Verdana" w:cs="Tahoma"/>
          <w:color w:val="333333"/>
          <w:lang w:eastAsia="es-ES"/>
        </w:rPr>
        <w:t>, concebido como un derecho y deber por medio del cual los ciudadanos participan abierta y libremente en la elección para conformar los poderes públicos.</w:t>
      </w:r>
    </w:p>
    <w:p w:rsidR="00AF4CBC" w:rsidRPr="00AF4CBC" w:rsidRDefault="00AF4CBC" w:rsidP="00AF4CBC">
      <w:pPr>
        <w:shd w:val="clear" w:color="auto" w:fill="FFFFFF"/>
        <w:spacing w:after="220" w:line="240" w:lineRule="auto"/>
        <w:jc w:val="both"/>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 xml:space="preserve">Ubicar con precisión las características del sistema político mexicano, lleva a recordar la diferencia entre Estado y gobierno. Resulta común encontrar en los medios de comunicación el uso de estos conceptos en forma </w:t>
      </w:r>
      <w:proofErr w:type="gramStart"/>
      <w:r w:rsidRPr="00AF4CBC">
        <w:rPr>
          <w:rFonts w:ascii="Verdana" w:eastAsia="Times New Roman" w:hAnsi="Verdana" w:cs="Tahoma"/>
          <w:color w:val="333333"/>
          <w:lang w:eastAsia="es-ES"/>
        </w:rPr>
        <w:t>indiferenciada</w:t>
      </w:r>
      <w:proofErr w:type="gramEnd"/>
      <w:r w:rsidRPr="00AF4CBC">
        <w:rPr>
          <w:rFonts w:ascii="Verdana" w:eastAsia="Times New Roman" w:hAnsi="Verdana" w:cs="Tahoma"/>
          <w:color w:val="333333"/>
          <w:lang w:eastAsia="es-ES"/>
        </w:rPr>
        <w:t>, incluso, nosotros los utilizamos con frecuencia en la escuela, en el hogar, en el trabajo y en la vida social. Sin embargo, en ocasiones cometemos el error de utilizarlos como sinónimos, pero no lo son. Aquí, lo conveniente es distinguirlos en función de los elementos que conforman el Estado.</w:t>
      </w:r>
    </w:p>
    <w:p w:rsidR="00AF4CBC" w:rsidRPr="00AF4CBC" w:rsidRDefault="00AF4CBC" w:rsidP="00AF4CBC">
      <w:pPr>
        <w:shd w:val="clear" w:color="auto" w:fill="FFFFFF"/>
        <w:spacing w:after="324" w:line="240" w:lineRule="auto"/>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El Estado se define como el grupo de personas asentado en un mismo territorio, con una organización social de la cual emana un poder de decisión manifestado a través de una forma de gobierno, descrita en una Constitución. El Estado se caracteriza por su independencia y la existencia de una vida pública autónoma, cuyo objetivo es el bien común. Así pues, el Estado está integrado por tres elementos, a saber:</w:t>
      </w:r>
    </w:p>
    <w:p w:rsidR="00AF4CBC" w:rsidRPr="00AF4CBC" w:rsidRDefault="00AF4CBC" w:rsidP="00AF4CBC">
      <w:pPr>
        <w:shd w:val="clear" w:color="auto" w:fill="FFFFFF"/>
        <w:spacing w:after="220" w:line="240" w:lineRule="auto"/>
        <w:jc w:val="center"/>
        <w:rPr>
          <w:rFonts w:ascii="Tahoma" w:eastAsia="Times New Roman" w:hAnsi="Tahoma" w:cs="Tahoma"/>
          <w:color w:val="2A2A2A"/>
          <w:sz w:val="20"/>
          <w:szCs w:val="20"/>
          <w:lang w:eastAsia="es-ES"/>
        </w:rPr>
      </w:pPr>
      <w:r w:rsidRPr="00AF4CBC">
        <w:rPr>
          <w:rFonts w:ascii="Verdana" w:eastAsia="Times New Roman" w:hAnsi="Verdana" w:cs="Tahoma"/>
          <w:b/>
          <w:bCs/>
          <w:color w:val="30658D"/>
          <w:sz w:val="28"/>
          <w:szCs w:val="28"/>
          <w:lang w:eastAsia="es-ES"/>
        </w:rPr>
        <w:t>Cómo funciona la economía en México y otros países</w:t>
      </w:r>
      <w:proofErr w:type="gramStart"/>
      <w:r w:rsidRPr="00AF4CBC">
        <w:rPr>
          <w:rFonts w:ascii="Verdana" w:eastAsia="Times New Roman" w:hAnsi="Verdana" w:cs="Tahoma"/>
          <w:b/>
          <w:bCs/>
          <w:color w:val="30658D"/>
          <w:sz w:val="28"/>
          <w:szCs w:val="28"/>
          <w:lang w:eastAsia="es-ES"/>
        </w:rPr>
        <w:t>?</w:t>
      </w:r>
      <w:proofErr w:type="gramEnd"/>
    </w:p>
    <w:p w:rsidR="00AF4CBC" w:rsidRPr="00AF4CBC" w:rsidRDefault="00AF4CBC" w:rsidP="00AF4CBC">
      <w:pPr>
        <w:shd w:val="clear" w:color="auto" w:fill="FFFFFF"/>
        <w:spacing w:after="220" w:line="240" w:lineRule="auto"/>
        <w:jc w:val="both"/>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En la actualidad, ningún Estado puede sobrevivir aislado. Por el contrario, para poder planear sus políticas de desarrollo, los líderes de las naciones están obligados a conocer los cambios que se dan en el panorama mundial en los aspectos político, económico y social. Asimismo, necesitan analizar el impacto de esos cambios al interior de su propio territorio y entre su población, a fin de negociar y concertar sus relaciones con el resto del mundo.</w:t>
      </w:r>
    </w:p>
    <w:p w:rsidR="00AF4CBC" w:rsidRPr="00AF4CBC" w:rsidRDefault="00AF4CBC" w:rsidP="00AF4CBC">
      <w:pPr>
        <w:shd w:val="clear" w:color="auto" w:fill="FFFFFF"/>
        <w:spacing w:after="220" w:line="240" w:lineRule="auto"/>
        <w:jc w:val="both"/>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Por su cercanía con Estados Unidos, México está estrechamente vinculado a las estrategias que adopta ese país, principalmente en el aspecto económico y comercial porque representa el mercado de mayor tamaño y acceso directo para los productos nacionales.</w:t>
      </w:r>
    </w:p>
    <w:p w:rsidR="00AF4CBC" w:rsidRPr="00AF4CBC" w:rsidRDefault="00AF4CBC" w:rsidP="00AF4CBC">
      <w:pPr>
        <w:shd w:val="clear" w:color="auto" w:fill="FFFFFF"/>
        <w:spacing w:after="220" w:line="240" w:lineRule="auto"/>
        <w:jc w:val="both"/>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Debido a la diferencia en el tamaño de las dos naciones se ha originado una dependencia desfavorable para la economía mexicana, por lo que el gobierno busca otras alternativas, principalmente en Europa y Asia.</w:t>
      </w:r>
    </w:p>
    <w:p w:rsidR="00AF4CBC" w:rsidRPr="00AF4CBC" w:rsidRDefault="00AF4CBC" w:rsidP="00AF4CBC">
      <w:pPr>
        <w:shd w:val="clear" w:color="auto" w:fill="FFFFFF"/>
        <w:spacing w:after="220" w:line="240" w:lineRule="auto"/>
        <w:jc w:val="both"/>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lastRenderedPageBreak/>
        <w:t>Algunas de las opciones de desarrollo fueron propuestas por los países industrializados desde mediados de los años 60, una vez superada la etapa de reconstrucción de Europa después de la II Guerra Mundial. La economía internacional experimentó cambios dramáticos a partir de esa década, como son.</w:t>
      </w:r>
    </w:p>
    <w:p w:rsidR="00AF4CBC" w:rsidRPr="00AF4CBC" w:rsidRDefault="00AF4CBC" w:rsidP="00AF4CBC">
      <w:pPr>
        <w:shd w:val="clear" w:color="auto" w:fill="FFFFFF"/>
        <w:spacing w:after="220" w:line="240" w:lineRule="auto"/>
        <w:jc w:val="both"/>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 </w:t>
      </w:r>
    </w:p>
    <w:p w:rsidR="00AF4CBC" w:rsidRPr="00AF4CBC" w:rsidRDefault="00AF4CBC" w:rsidP="00AF4CBC">
      <w:pPr>
        <w:shd w:val="clear" w:color="auto" w:fill="FFFFFF"/>
        <w:spacing w:after="220" w:line="240" w:lineRule="auto"/>
        <w:jc w:val="both"/>
        <w:rPr>
          <w:rFonts w:ascii="Tahoma" w:eastAsia="Times New Roman" w:hAnsi="Tahoma" w:cs="Tahoma"/>
          <w:color w:val="2A2A2A"/>
          <w:sz w:val="20"/>
          <w:szCs w:val="20"/>
          <w:lang w:eastAsia="es-ES"/>
        </w:rPr>
      </w:pPr>
      <w:r w:rsidRPr="00AF4CBC">
        <w:rPr>
          <w:rFonts w:ascii="Verdana" w:eastAsia="Times New Roman" w:hAnsi="Verdana" w:cs="Tahoma"/>
          <w:b/>
          <w:bCs/>
          <w:color w:val="333333"/>
          <w:lang w:eastAsia="es-ES"/>
        </w:rPr>
        <w:t>Globalización</w:t>
      </w:r>
    </w:p>
    <w:p w:rsidR="00AF4CBC" w:rsidRPr="00AF4CBC" w:rsidRDefault="00AF4CBC" w:rsidP="00AF4CBC">
      <w:pPr>
        <w:shd w:val="clear" w:color="auto" w:fill="FFFFFF"/>
        <w:spacing w:after="220" w:line="240" w:lineRule="auto"/>
        <w:jc w:val="both"/>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 xml:space="preserve">Así, a partir de los cambios expuestos, inició un proceso de integración económica de todas las naciones con el objetivo de hacer del mundo un mercado global, aumentando las relaciones de interdependencia. A este proceso se le llama </w:t>
      </w:r>
      <w:r w:rsidRPr="00AF4CBC">
        <w:rPr>
          <w:rFonts w:ascii="Verdana" w:eastAsia="Times New Roman" w:hAnsi="Verdana" w:cs="Tahoma"/>
          <w:i/>
          <w:iCs/>
          <w:color w:val="333333"/>
          <w:lang w:eastAsia="es-ES"/>
        </w:rPr>
        <w:t>Globalización</w:t>
      </w:r>
      <w:r w:rsidRPr="00AF4CBC">
        <w:rPr>
          <w:rFonts w:ascii="Verdana" w:eastAsia="Times New Roman" w:hAnsi="Verdana" w:cs="Tahoma"/>
          <w:color w:val="333333"/>
          <w:lang w:eastAsia="es-ES"/>
        </w:rPr>
        <w:t xml:space="preserve"> y sus características son:</w:t>
      </w:r>
    </w:p>
    <w:tbl>
      <w:tblPr>
        <w:tblW w:w="0" w:type="auto"/>
        <w:tblCellMar>
          <w:left w:w="0" w:type="dxa"/>
          <w:right w:w="0" w:type="dxa"/>
        </w:tblCellMar>
        <w:tblLook w:val="04A0"/>
      </w:tblPr>
      <w:tblGrid>
        <w:gridCol w:w="2259"/>
        <w:gridCol w:w="6461"/>
      </w:tblGrid>
      <w:tr w:rsidR="00AF4CBC" w:rsidRPr="00AF4CBC" w:rsidTr="00AF4CBC">
        <w:tc>
          <w:tcPr>
            <w:tcW w:w="2560" w:type="dxa"/>
            <w:tcBorders>
              <w:top w:val="nil"/>
              <w:left w:val="nil"/>
              <w:bottom w:val="nil"/>
              <w:right w:val="nil"/>
            </w:tcBorders>
            <w:tcMar>
              <w:top w:w="0" w:type="dxa"/>
              <w:left w:w="108" w:type="dxa"/>
              <w:bottom w:w="0" w:type="dxa"/>
              <w:right w:w="108" w:type="dxa"/>
            </w:tcMar>
            <w:vAlign w:val="center"/>
            <w:hideMark/>
          </w:tcPr>
          <w:p w:rsidR="00AF4CBC" w:rsidRPr="00AF4CBC" w:rsidRDefault="00AF4CBC" w:rsidP="00AF4CBC">
            <w:pPr>
              <w:spacing w:after="0" w:line="240" w:lineRule="auto"/>
              <w:jc w:val="both"/>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 </w:t>
            </w:r>
          </w:p>
        </w:tc>
        <w:tc>
          <w:tcPr>
            <w:tcW w:w="7180" w:type="dxa"/>
            <w:tcBorders>
              <w:top w:val="nil"/>
              <w:left w:val="nil"/>
              <w:bottom w:val="nil"/>
              <w:right w:val="nil"/>
            </w:tcBorders>
            <w:tcMar>
              <w:top w:w="0" w:type="dxa"/>
              <w:left w:w="108" w:type="dxa"/>
              <w:bottom w:w="0" w:type="dxa"/>
              <w:right w:w="108" w:type="dxa"/>
            </w:tcMar>
            <w:vAlign w:val="center"/>
            <w:hideMark/>
          </w:tcPr>
          <w:p w:rsidR="00AF4CBC" w:rsidRPr="00AF4CBC" w:rsidRDefault="00AF4CBC" w:rsidP="00AF4CBC">
            <w:pPr>
              <w:tabs>
                <w:tab w:val="left" w:pos="220"/>
                <w:tab w:val="left" w:pos="720"/>
              </w:tabs>
              <w:spacing w:after="0" w:line="240" w:lineRule="auto"/>
              <w:ind w:left="720" w:hanging="720"/>
              <w:jc w:val="both"/>
              <w:rPr>
                <w:rFonts w:ascii="Tahoma" w:eastAsia="Times New Roman" w:hAnsi="Tahoma" w:cs="Tahoma"/>
                <w:color w:val="2A2A2A"/>
                <w:sz w:val="20"/>
                <w:szCs w:val="20"/>
                <w:lang w:eastAsia="es-ES"/>
              </w:rPr>
            </w:pPr>
            <w:r w:rsidRPr="00AF4CBC">
              <w:rPr>
                <w:rFonts w:ascii="Times New Roman" w:eastAsia="Times New Roman" w:hAnsi="Times New Roman" w:cs="Times New Roman"/>
                <w:color w:val="333333"/>
                <w:sz w:val="14"/>
                <w:szCs w:val="14"/>
                <w:lang w:eastAsia="es-ES"/>
              </w:rPr>
              <w:t xml:space="preserve">      </w:t>
            </w:r>
            <w:r w:rsidRPr="00AF4CBC">
              <w:rPr>
                <w:rFonts w:ascii="Verdana" w:eastAsia="Times New Roman" w:hAnsi="Verdana" w:cs="Tahoma"/>
                <w:color w:val="333333"/>
                <w:lang w:eastAsia="es-ES"/>
              </w:rPr>
              <w:t>Eliminación de aranceles, cuotas y otras restricciones comerciales.</w:t>
            </w:r>
          </w:p>
          <w:p w:rsidR="00AF4CBC" w:rsidRPr="00AF4CBC" w:rsidRDefault="00AF4CBC" w:rsidP="00AF4CBC">
            <w:pPr>
              <w:tabs>
                <w:tab w:val="left" w:pos="220"/>
                <w:tab w:val="left" w:pos="720"/>
              </w:tabs>
              <w:spacing w:after="0" w:line="240" w:lineRule="auto"/>
              <w:ind w:left="720" w:hanging="720"/>
              <w:jc w:val="both"/>
              <w:rPr>
                <w:rFonts w:ascii="Tahoma" w:eastAsia="Times New Roman" w:hAnsi="Tahoma" w:cs="Tahoma"/>
                <w:color w:val="2A2A2A"/>
                <w:sz w:val="20"/>
                <w:szCs w:val="20"/>
                <w:lang w:eastAsia="es-ES"/>
              </w:rPr>
            </w:pPr>
            <w:r w:rsidRPr="00AF4CBC">
              <w:rPr>
                <w:rFonts w:ascii="Times New Roman" w:eastAsia="Times New Roman" w:hAnsi="Times New Roman" w:cs="Times New Roman"/>
                <w:color w:val="333333"/>
                <w:sz w:val="14"/>
                <w:szCs w:val="14"/>
                <w:lang w:eastAsia="es-ES"/>
              </w:rPr>
              <w:t xml:space="preserve">      </w:t>
            </w:r>
            <w:r w:rsidRPr="00AF4CBC">
              <w:rPr>
                <w:rFonts w:ascii="Verdana" w:eastAsia="Times New Roman" w:hAnsi="Verdana" w:cs="Tahoma"/>
                <w:color w:val="333333"/>
                <w:lang w:eastAsia="es-ES"/>
              </w:rPr>
              <w:t xml:space="preserve">Permiso para el libre tránsito de capital, trabajo y empresa. </w:t>
            </w:r>
          </w:p>
          <w:p w:rsidR="00AF4CBC" w:rsidRPr="00AF4CBC" w:rsidRDefault="00AF4CBC" w:rsidP="00AF4CBC">
            <w:pPr>
              <w:tabs>
                <w:tab w:val="left" w:pos="220"/>
                <w:tab w:val="left" w:pos="720"/>
              </w:tabs>
              <w:spacing w:after="0" w:line="240" w:lineRule="auto"/>
              <w:ind w:left="720" w:hanging="720"/>
              <w:jc w:val="both"/>
              <w:rPr>
                <w:rFonts w:ascii="Tahoma" w:eastAsia="Times New Roman" w:hAnsi="Tahoma" w:cs="Tahoma"/>
                <w:color w:val="2A2A2A"/>
                <w:sz w:val="20"/>
                <w:szCs w:val="20"/>
                <w:lang w:eastAsia="es-ES"/>
              </w:rPr>
            </w:pPr>
            <w:r w:rsidRPr="00AF4CBC">
              <w:rPr>
                <w:rFonts w:ascii="Times New Roman" w:eastAsia="Times New Roman" w:hAnsi="Times New Roman" w:cs="Times New Roman"/>
                <w:color w:val="333333"/>
                <w:sz w:val="14"/>
                <w:szCs w:val="14"/>
                <w:lang w:eastAsia="es-ES"/>
              </w:rPr>
              <w:t xml:space="preserve">      </w:t>
            </w:r>
            <w:r w:rsidRPr="00AF4CBC">
              <w:rPr>
                <w:rFonts w:ascii="Verdana" w:eastAsia="Times New Roman" w:hAnsi="Verdana" w:cs="Tahoma"/>
                <w:color w:val="333333"/>
                <w:lang w:eastAsia="es-ES"/>
              </w:rPr>
              <w:t>Coordinación y sincronización de las políticas monetarias y fiscales.</w:t>
            </w:r>
          </w:p>
        </w:tc>
      </w:tr>
    </w:tbl>
    <w:p w:rsidR="00AF4CBC" w:rsidRPr="00AF4CBC" w:rsidRDefault="00AF4CBC" w:rsidP="00AF4CBC">
      <w:pPr>
        <w:shd w:val="clear" w:color="auto" w:fill="FFFFFF"/>
        <w:spacing w:after="324" w:line="240" w:lineRule="auto"/>
        <w:rPr>
          <w:rFonts w:ascii="Tahoma" w:eastAsia="Times New Roman" w:hAnsi="Tahoma" w:cs="Tahoma"/>
          <w:color w:val="2A2A2A"/>
          <w:sz w:val="20"/>
          <w:szCs w:val="20"/>
          <w:lang w:eastAsia="es-ES"/>
        </w:rPr>
      </w:pPr>
      <w:r w:rsidRPr="00AF4CBC">
        <w:rPr>
          <w:rFonts w:ascii="Verdana" w:eastAsia="Times New Roman" w:hAnsi="Verdana" w:cs="Tahoma"/>
          <w:color w:val="333333"/>
          <w:lang w:eastAsia="es-ES"/>
        </w:rPr>
        <w:t>De esta forma, es posible determinar que los ejes principales están dados por la determinación de colaboración y competencia, la primera a partir del establecimiento de acuerdos para fortalecer a los países, al tiempo de posicionarlos adecuadamente dentro de un marco internacional que se distingue por la competencia en todos los campos de la producción, circulación y consumo de bienes. Así, podemos indicar que la globalización se da en dos vertientes:</w:t>
      </w:r>
    </w:p>
    <w:p w:rsidR="00F77261" w:rsidRDefault="007F6984"/>
    <w:sectPr w:rsidR="00F77261" w:rsidSect="00AF4CBC">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CBC"/>
    <w:rsid w:val="0062728D"/>
    <w:rsid w:val="007002CF"/>
    <w:rsid w:val="00AF4CBC"/>
    <w:rsid w:val="00C11C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4CBC"/>
    <w:rPr>
      <w:strike w:val="0"/>
      <w:dstrike w:val="0"/>
      <w:color w:val="0066CC"/>
      <w:u w:val="none"/>
      <w:effect w:val="none"/>
    </w:rPr>
  </w:style>
  <w:style w:type="paragraph" w:customStyle="1" w:styleId="ecxmsonormal">
    <w:name w:val="ecxmsonormal"/>
    <w:basedOn w:val="Normal"/>
    <w:rsid w:val="00AF4CBC"/>
    <w:pPr>
      <w:spacing w:after="324"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47545704">
      <w:bodyDiv w:val="1"/>
      <w:marLeft w:val="0"/>
      <w:marRight w:val="0"/>
      <w:marTop w:val="0"/>
      <w:marBottom w:val="0"/>
      <w:divBdr>
        <w:top w:val="none" w:sz="0" w:space="0" w:color="auto"/>
        <w:left w:val="none" w:sz="0" w:space="0" w:color="auto"/>
        <w:bottom w:val="none" w:sz="0" w:space="0" w:color="auto"/>
        <w:right w:val="none" w:sz="0" w:space="0" w:color="auto"/>
      </w:divBdr>
      <w:divsChild>
        <w:div w:id="506481220">
          <w:marLeft w:val="0"/>
          <w:marRight w:val="0"/>
          <w:marTop w:val="0"/>
          <w:marBottom w:val="0"/>
          <w:divBdr>
            <w:top w:val="none" w:sz="0" w:space="0" w:color="auto"/>
            <w:left w:val="none" w:sz="0" w:space="0" w:color="auto"/>
            <w:bottom w:val="none" w:sz="0" w:space="0" w:color="auto"/>
            <w:right w:val="none" w:sz="0" w:space="0" w:color="auto"/>
          </w:divBdr>
          <w:divsChild>
            <w:div w:id="899747051">
              <w:marLeft w:val="0"/>
              <w:marRight w:val="0"/>
              <w:marTop w:val="0"/>
              <w:marBottom w:val="0"/>
              <w:divBdr>
                <w:top w:val="none" w:sz="0" w:space="0" w:color="auto"/>
                <w:left w:val="none" w:sz="0" w:space="0" w:color="auto"/>
                <w:bottom w:val="none" w:sz="0" w:space="0" w:color="auto"/>
                <w:right w:val="none" w:sz="0" w:space="0" w:color="auto"/>
              </w:divBdr>
              <w:divsChild>
                <w:div w:id="1199198772">
                  <w:marLeft w:val="0"/>
                  <w:marRight w:val="0"/>
                  <w:marTop w:val="0"/>
                  <w:marBottom w:val="0"/>
                  <w:divBdr>
                    <w:top w:val="none" w:sz="0" w:space="0" w:color="auto"/>
                    <w:left w:val="none" w:sz="0" w:space="0" w:color="auto"/>
                    <w:bottom w:val="none" w:sz="0" w:space="0" w:color="auto"/>
                    <w:right w:val="none" w:sz="0" w:space="0" w:color="auto"/>
                  </w:divBdr>
                  <w:divsChild>
                    <w:div w:id="886451038">
                      <w:marLeft w:val="0"/>
                      <w:marRight w:val="0"/>
                      <w:marTop w:val="0"/>
                      <w:marBottom w:val="0"/>
                      <w:divBdr>
                        <w:top w:val="none" w:sz="0" w:space="0" w:color="auto"/>
                        <w:left w:val="none" w:sz="0" w:space="0" w:color="auto"/>
                        <w:bottom w:val="none" w:sz="0" w:space="0" w:color="auto"/>
                        <w:right w:val="none" w:sz="0" w:space="0" w:color="auto"/>
                      </w:divBdr>
                      <w:divsChild>
                        <w:div w:id="1235048302">
                          <w:marLeft w:val="0"/>
                          <w:marRight w:val="0"/>
                          <w:marTop w:val="0"/>
                          <w:marBottom w:val="0"/>
                          <w:divBdr>
                            <w:top w:val="none" w:sz="0" w:space="0" w:color="auto"/>
                            <w:left w:val="none" w:sz="0" w:space="0" w:color="auto"/>
                            <w:bottom w:val="none" w:sz="0" w:space="0" w:color="auto"/>
                            <w:right w:val="none" w:sz="0" w:space="0" w:color="auto"/>
                          </w:divBdr>
                          <w:divsChild>
                            <w:div w:id="2119063820">
                              <w:marLeft w:val="0"/>
                              <w:marRight w:val="0"/>
                              <w:marTop w:val="0"/>
                              <w:marBottom w:val="0"/>
                              <w:divBdr>
                                <w:top w:val="none" w:sz="0" w:space="0" w:color="auto"/>
                                <w:left w:val="none" w:sz="0" w:space="0" w:color="auto"/>
                                <w:bottom w:val="none" w:sz="0" w:space="0" w:color="auto"/>
                                <w:right w:val="none" w:sz="0" w:space="0" w:color="auto"/>
                              </w:divBdr>
                              <w:divsChild>
                                <w:div w:id="1800955347">
                                  <w:marLeft w:val="0"/>
                                  <w:marRight w:val="0"/>
                                  <w:marTop w:val="0"/>
                                  <w:marBottom w:val="0"/>
                                  <w:divBdr>
                                    <w:top w:val="none" w:sz="0" w:space="0" w:color="auto"/>
                                    <w:left w:val="none" w:sz="0" w:space="0" w:color="auto"/>
                                    <w:bottom w:val="none" w:sz="0" w:space="0" w:color="auto"/>
                                    <w:right w:val="none" w:sz="0" w:space="0" w:color="auto"/>
                                  </w:divBdr>
                                  <w:divsChild>
                                    <w:div w:id="1824661742">
                                      <w:marLeft w:val="0"/>
                                      <w:marRight w:val="0"/>
                                      <w:marTop w:val="0"/>
                                      <w:marBottom w:val="0"/>
                                      <w:divBdr>
                                        <w:top w:val="none" w:sz="0" w:space="0" w:color="auto"/>
                                        <w:left w:val="none" w:sz="0" w:space="0" w:color="auto"/>
                                        <w:bottom w:val="none" w:sz="0" w:space="0" w:color="auto"/>
                                        <w:right w:val="none" w:sz="0" w:space="0" w:color="auto"/>
                                      </w:divBdr>
                                      <w:divsChild>
                                        <w:div w:id="1879930224">
                                          <w:marLeft w:val="0"/>
                                          <w:marRight w:val="0"/>
                                          <w:marTop w:val="0"/>
                                          <w:marBottom w:val="0"/>
                                          <w:divBdr>
                                            <w:top w:val="none" w:sz="0" w:space="0" w:color="auto"/>
                                            <w:left w:val="none" w:sz="0" w:space="0" w:color="auto"/>
                                            <w:bottom w:val="none" w:sz="0" w:space="0" w:color="auto"/>
                                            <w:right w:val="none" w:sz="0" w:space="0" w:color="auto"/>
                                          </w:divBdr>
                                          <w:divsChild>
                                            <w:div w:id="1337611923">
                                              <w:marLeft w:val="0"/>
                                              <w:marRight w:val="0"/>
                                              <w:marTop w:val="0"/>
                                              <w:marBottom w:val="0"/>
                                              <w:divBdr>
                                                <w:top w:val="none" w:sz="0" w:space="0" w:color="auto"/>
                                                <w:left w:val="none" w:sz="0" w:space="0" w:color="auto"/>
                                                <w:bottom w:val="none" w:sz="0" w:space="0" w:color="auto"/>
                                                <w:right w:val="none" w:sz="0" w:space="0" w:color="auto"/>
                                              </w:divBdr>
                                              <w:divsChild>
                                                <w:div w:id="1463235640">
                                                  <w:marLeft w:val="0"/>
                                                  <w:marRight w:val="0"/>
                                                  <w:marTop w:val="0"/>
                                                  <w:marBottom w:val="0"/>
                                                  <w:divBdr>
                                                    <w:top w:val="none" w:sz="0" w:space="0" w:color="auto"/>
                                                    <w:left w:val="none" w:sz="0" w:space="0" w:color="auto"/>
                                                    <w:bottom w:val="none" w:sz="0" w:space="0" w:color="auto"/>
                                                    <w:right w:val="none" w:sz="0" w:space="0" w:color="auto"/>
                                                  </w:divBdr>
                                                  <w:divsChild>
                                                    <w:div w:id="944071532">
                                                      <w:marLeft w:val="0"/>
                                                      <w:marRight w:val="90"/>
                                                      <w:marTop w:val="0"/>
                                                      <w:marBottom w:val="0"/>
                                                      <w:divBdr>
                                                        <w:top w:val="none" w:sz="0" w:space="0" w:color="auto"/>
                                                        <w:left w:val="none" w:sz="0" w:space="0" w:color="auto"/>
                                                        <w:bottom w:val="none" w:sz="0" w:space="0" w:color="auto"/>
                                                        <w:right w:val="none" w:sz="0" w:space="0" w:color="auto"/>
                                                      </w:divBdr>
                                                      <w:divsChild>
                                                        <w:div w:id="189923590">
                                                          <w:marLeft w:val="0"/>
                                                          <w:marRight w:val="0"/>
                                                          <w:marTop w:val="0"/>
                                                          <w:marBottom w:val="0"/>
                                                          <w:divBdr>
                                                            <w:top w:val="none" w:sz="0" w:space="0" w:color="auto"/>
                                                            <w:left w:val="none" w:sz="0" w:space="0" w:color="auto"/>
                                                            <w:bottom w:val="none" w:sz="0" w:space="0" w:color="auto"/>
                                                            <w:right w:val="none" w:sz="0" w:space="0" w:color="auto"/>
                                                          </w:divBdr>
                                                          <w:divsChild>
                                                            <w:div w:id="1743865301">
                                                              <w:marLeft w:val="0"/>
                                                              <w:marRight w:val="0"/>
                                                              <w:marTop w:val="0"/>
                                                              <w:marBottom w:val="0"/>
                                                              <w:divBdr>
                                                                <w:top w:val="none" w:sz="0" w:space="0" w:color="auto"/>
                                                                <w:left w:val="none" w:sz="0" w:space="0" w:color="auto"/>
                                                                <w:bottom w:val="none" w:sz="0" w:space="0" w:color="auto"/>
                                                                <w:right w:val="none" w:sz="0" w:space="0" w:color="auto"/>
                                                              </w:divBdr>
                                                              <w:divsChild>
                                                                <w:div w:id="1259558370">
                                                                  <w:marLeft w:val="0"/>
                                                                  <w:marRight w:val="0"/>
                                                                  <w:marTop w:val="0"/>
                                                                  <w:marBottom w:val="0"/>
                                                                  <w:divBdr>
                                                                    <w:top w:val="none" w:sz="0" w:space="0" w:color="auto"/>
                                                                    <w:left w:val="none" w:sz="0" w:space="0" w:color="auto"/>
                                                                    <w:bottom w:val="none" w:sz="0" w:space="0" w:color="auto"/>
                                                                    <w:right w:val="none" w:sz="0" w:space="0" w:color="auto"/>
                                                                  </w:divBdr>
                                                                  <w:divsChild>
                                                                    <w:div w:id="291180200">
                                                                      <w:marLeft w:val="0"/>
                                                                      <w:marRight w:val="0"/>
                                                                      <w:marTop w:val="0"/>
                                                                      <w:marBottom w:val="105"/>
                                                                      <w:divBdr>
                                                                        <w:top w:val="single" w:sz="6" w:space="0" w:color="EDEDED"/>
                                                                        <w:left w:val="single" w:sz="6" w:space="0" w:color="EDEDED"/>
                                                                        <w:bottom w:val="single" w:sz="6" w:space="0" w:color="EDEDED"/>
                                                                        <w:right w:val="single" w:sz="6" w:space="0" w:color="EDEDED"/>
                                                                      </w:divBdr>
                                                                      <w:divsChild>
                                                                        <w:div w:id="1314989469">
                                                                          <w:marLeft w:val="0"/>
                                                                          <w:marRight w:val="0"/>
                                                                          <w:marTop w:val="0"/>
                                                                          <w:marBottom w:val="0"/>
                                                                          <w:divBdr>
                                                                            <w:top w:val="none" w:sz="0" w:space="0" w:color="auto"/>
                                                                            <w:left w:val="none" w:sz="0" w:space="0" w:color="auto"/>
                                                                            <w:bottom w:val="none" w:sz="0" w:space="0" w:color="auto"/>
                                                                            <w:right w:val="none" w:sz="0" w:space="0" w:color="auto"/>
                                                                          </w:divBdr>
                                                                          <w:divsChild>
                                                                            <w:div w:id="1533155265">
                                                                              <w:marLeft w:val="0"/>
                                                                              <w:marRight w:val="0"/>
                                                                              <w:marTop w:val="0"/>
                                                                              <w:marBottom w:val="0"/>
                                                                              <w:divBdr>
                                                                                <w:top w:val="none" w:sz="0" w:space="0" w:color="auto"/>
                                                                                <w:left w:val="none" w:sz="0" w:space="0" w:color="auto"/>
                                                                                <w:bottom w:val="none" w:sz="0" w:space="0" w:color="auto"/>
                                                                                <w:right w:val="none" w:sz="0" w:space="0" w:color="auto"/>
                                                                              </w:divBdr>
                                                                              <w:divsChild>
                                                                                <w:div w:id="1472557590">
                                                                                  <w:marLeft w:val="0"/>
                                                                                  <w:marRight w:val="0"/>
                                                                                  <w:marTop w:val="0"/>
                                                                                  <w:marBottom w:val="0"/>
                                                                                  <w:divBdr>
                                                                                    <w:top w:val="none" w:sz="0" w:space="0" w:color="auto"/>
                                                                                    <w:left w:val="none" w:sz="0" w:space="0" w:color="auto"/>
                                                                                    <w:bottom w:val="none" w:sz="0" w:space="0" w:color="auto"/>
                                                                                    <w:right w:val="none" w:sz="0" w:space="0" w:color="auto"/>
                                                                                  </w:divBdr>
                                                                                  <w:divsChild>
                                                                                    <w:div w:id="845246901">
                                                                                      <w:marLeft w:val="180"/>
                                                                                      <w:marRight w:val="180"/>
                                                                                      <w:marTop w:val="0"/>
                                                                                      <w:marBottom w:val="0"/>
                                                                                      <w:divBdr>
                                                                                        <w:top w:val="none" w:sz="0" w:space="0" w:color="auto"/>
                                                                                        <w:left w:val="none" w:sz="0" w:space="0" w:color="auto"/>
                                                                                        <w:bottom w:val="none" w:sz="0" w:space="0" w:color="auto"/>
                                                                                        <w:right w:val="none" w:sz="0" w:space="0" w:color="auto"/>
                                                                                      </w:divBdr>
                                                                                      <w:divsChild>
                                                                                        <w:div w:id="13494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NU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dc:creator>
  <cp:keywords/>
  <dc:description/>
  <cp:lastModifiedBy>FIDEL</cp:lastModifiedBy>
  <cp:revision>1</cp:revision>
  <dcterms:created xsi:type="dcterms:W3CDTF">2010-11-12T04:08:00Z</dcterms:created>
  <dcterms:modified xsi:type="dcterms:W3CDTF">2010-11-12T04:34:00Z</dcterms:modified>
</cp:coreProperties>
</file>